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D313" w14:textId="77777777" w:rsidR="00535972" w:rsidRPr="00EE7E09" w:rsidRDefault="00535972" w:rsidP="009B7DA2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26102416"/>
      <w:r w:rsidRPr="00EE7E09">
        <w:rPr>
          <w:rFonts w:ascii="Times New Roman" w:hAnsi="Times New Roman" w:cs="Times New Roman"/>
          <w:color w:val="auto"/>
          <w:sz w:val="24"/>
          <w:szCs w:val="24"/>
        </w:rPr>
        <w:t>BAB I</w:t>
      </w:r>
      <w:r w:rsidRPr="00EE7E09">
        <w:rPr>
          <w:rFonts w:ascii="Times New Roman" w:hAnsi="Times New Roman" w:cs="Times New Roman"/>
          <w:color w:val="auto"/>
          <w:sz w:val="24"/>
          <w:szCs w:val="24"/>
        </w:rPr>
        <w:br/>
        <w:t>PENDAHULUAN</w:t>
      </w:r>
      <w:bookmarkEnd w:id="0"/>
    </w:p>
    <w:p w14:paraId="075B60F0" w14:textId="77777777" w:rsidR="00535972" w:rsidRPr="00EE7E09" w:rsidRDefault="00535972" w:rsidP="00535972">
      <w:pPr>
        <w:pStyle w:val="Heading2"/>
        <w:numPr>
          <w:ilvl w:val="1"/>
          <w:numId w:val="2"/>
        </w:numPr>
        <w:tabs>
          <w:tab w:val="num" w:pos="360"/>
        </w:tabs>
        <w:spacing w:before="0" w:line="48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26102417"/>
      <w:proofErr w:type="spellStart"/>
      <w:r w:rsidRPr="00EE7E09">
        <w:rPr>
          <w:rFonts w:ascii="Times New Roman" w:hAnsi="Times New Roman" w:cs="Times New Roman"/>
          <w:color w:val="auto"/>
          <w:sz w:val="24"/>
          <w:szCs w:val="24"/>
        </w:rPr>
        <w:t>Latar</w:t>
      </w:r>
      <w:proofErr w:type="spellEnd"/>
      <w:r w:rsidRPr="00EE7E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color w:val="auto"/>
          <w:sz w:val="24"/>
          <w:szCs w:val="24"/>
        </w:rPr>
        <w:t>Belakang</w:t>
      </w:r>
      <w:bookmarkEnd w:id="1"/>
      <w:proofErr w:type="spellEnd"/>
    </w:p>
    <w:p w14:paraId="57A29347" w14:textId="77777777" w:rsidR="00535972" w:rsidRPr="00EE7E09" w:rsidRDefault="00535972" w:rsidP="0053597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EE7E09">
        <w:rPr>
          <w:rFonts w:ascii="Times New Roman" w:hAnsi="Times New Roman" w:cs="Times New Roman"/>
          <w:sz w:val="24"/>
          <w:szCs w:val="24"/>
        </w:rPr>
        <w:t>aat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gas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solar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miyak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LPG dan LNG</w:t>
      </w:r>
      <w:r w:rsidRPr="00EE7E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gas LPG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bakar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memasak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LPG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pipa 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pengalihan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LPG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pipa 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8FE8F" w14:textId="77777777" w:rsidR="00535972" w:rsidRPr="00EE7E09" w:rsidRDefault="00535972" w:rsidP="0053597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E09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pusat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di Indonesia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berlanjut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pasar 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dunia yang sangat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focus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sejahtera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penciptaan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berlandaskan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4A7FC6" w14:textId="77777777" w:rsidR="00535972" w:rsidRPr="00EE7E09" w:rsidRDefault="00535972" w:rsidP="0053597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E09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LPG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E09">
        <w:rPr>
          <w:rFonts w:ascii="Times New Roman" w:hAnsi="Times New Roman" w:cs="Times New Roman"/>
          <w:sz w:val="24"/>
          <w:szCs w:val="24"/>
        </w:rPr>
        <w:t xml:space="preserve">Kg.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tan</w:t>
      </w:r>
      <w:r>
        <w:rPr>
          <w:rFonts w:ascii="Times New Roman" w:hAnsi="Times New Roman" w:cs="Times New Roman"/>
          <w:sz w:val="24"/>
          <w:szCs w:val="24"/>
        </w:rPr>
        <w:t>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lastRenderedPageBreak/>
        <w:t>tabung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gas LPG pada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EE7E09">
        <w:rPr>
          <w:rFonts w:ascii="Times New Roman" w:hAnsi="Times New Roman" w:cs="Times New Roman"/>
          <w:sz w:val="24"/>
          <w:szCs w:val="24"/>
        </w:rPr>
        <w:t>eraturan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EE7E09">
        <w:rPr>
          <w:rFonts w:ascii="Times New Roman" w:hAnsi="Times New Roman" w:cs="Times New Roman"/>
          <w:sz w:val="24"/>
          <w:szCs w:val="24"/>
        </w:rPr>
        <w:t>residen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EE7E09">
        <w:rPr>
          <w:rFonts w:ascii="Times New Roman" w:hAnsi="Times New Roman" w:cs="Times New Roman"/>
          <w:sz w:val="24"/>
          <w:szCs w:val="24"/>
        </w:rPr>
        <w:t>erpes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No.</w:t>
      </w:r>
      <w:r w:rsidRPr="00EE7E09">
        <w:rPr>
          <w:rFonts w:ascii="Times New Roman" w:hAnsi="Times New Roman" w:cs="Times New Roman"/>
          <w:sz w:val="24"/>
          <w:szCs w:val="24"/>
        </w:rPr>
        <w:t xml:space="preserve"> 104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EE7E09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pendistribusian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E09">
        <w:rPr>
          <w:rFonts w:ascii="Times New Roman" w:hAnsi="Times New Roman" w:cs="Times New Roman"/>
          <w:sz w:val="24"/>
          <w:szCs w:val="24"/>
        </w:rPr>
        <w:t xml:space="preserve">LPG 3 </w:t>
      </w:r>
      <w:r>
        <w:rPr>
          <w:rFonts w:ascii="Times New Roman" w:hAnsi="Times New Roman" w:cs="Times New Roman"/>
          <w:sz w:val="24"/>
          <w:szCs w:val="24"/>
        </w:rPr>
        <w:t>Kg</w:t>
      </w:r>
      <w:r w:rsidRPr="00EE7E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mentransformasikan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Penggantian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 LPG 3 Kg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BBM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meringankan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</w:t>
      </w:r>
      <w:r w:rsidRPr="00EE7E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LPG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hemat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EE7E09">
        <w:rPr>
          <w:rFonts w:ascii="Times New Roman" w:hAnsi="Times New Roman" w:cs="Times New Roman"/>
          <w:sz w:val="24"/>
          <w:szCs w:val="24"/>
        </w:rPr>
        <w:t xml:space="preserve">rogram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LPG 3 kg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Rp 21,38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triliun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kurun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EE7E09">
        <w:rPr>
          <w:rFonts w:ascii="Times New Roman" w:hAnsi="Times New Roman" w:cs="Times New Roman"/>
          <w:sz w:val="24"/>
          <w:szCs w:val="24"/>
        </w:rPr>
        <w:t>enurut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pertamina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>.</w:t>
      </w:r>
    </w:p>
    <w:p w14:paraId="4614C83D" w14:textId="77777777" w:rsidR="00535972" w:rsidRPr="00EE7E09" w:rsidRDefault="00535972" w:rsidP="0053597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E7E09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LPG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bersubsidi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senilai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Rp54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triliun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(US$3,8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dan v</w:t>
      </w:r>
      <w:r w:rsidRPr="00EE7E09">
        <w:rPr>
          <w:rFonts w:ascii="Times New Roman" w:hAnsi="Times New Roman" w:cs="Times New Roman"/>
          <w:sz w:val="24"/>
          <w:szCs w:val="24"/>
        </w:rPr>
        <w:t xml:space="preserve">olume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LPG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bersubsidi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diperkenalkan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E09">
        <w:rPr>
          <w:rFonts w:ascii="Times New Roman" w:hAnsi="Times New Roman" w:cs="Times New Roman"/>
          <w:sz w:val="24"/>
          <w:szCs w:val="24"/>
        </w:rPr>
        <w:t xml:space="preserve">(BPK, 2020).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E09">
        <w:rPr>
          <w:rFonts w:ascii="Times New Roman" w:hAnsi="Times New Roman" w:cs="Times New Roman"/>
          <w:sz w:val="24"/>
          <w:szCs w:val="24"/>
        </w:rPr>
        <w:t xml:space="preserve">LPG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bersubsidi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diproyeksikan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kg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senilai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Rp89 triliun1 (US$6,1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E09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2023 (TNP2K, 2020). Karena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E09">
        <w:rPr>
          <w:rFonts w:ascii="Times New Roman" w:hAnsi="Times New Roman" w:cs="Times New Roman"/>
          <w:sz w:val="24"/>
          <w:szCs w:val="24"/>
        </w:rPr>
        <w:t>LPG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75% pada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APBN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E09">
        <w:rPr>
          <w:rFonts w:ascii="Times New Roman" w:hAnsi="Times New Roman" w:cs="Times New Roman"/>
          <w:sz w:val="24"/>
          <w:szCs w:val="24"/>
        </w:rPr>
        <w:t xml:space="preserve">(ESDM, 2020). </w:t>
      </w:r>
    </w:p>
    <w:p w14:paraId="2652A900" w14:textId="77777777" w:rsidR="00535972" w:rsidRDefault="00535972" w:rsidP="0053597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E09">
        <w:rPr>
          <w:rFonts w:ascii="Times New Roman" w:hAnsi="Times New Roman" w:cs="Times New Roman"/>
          <w:sz w:val="24"/>
          <w:szCs w:val="24"/>
        </w:rPr>
        <w:t xml:space="preserve">Reformasi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LPG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E09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pembebasan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prioritas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E09">
        <w:rPr>
          <w:rFonts w:ascii="Times New Roman" w:hAnsi="Times New Roman" w:cs="Times New Roman"/>
          <w:sz w:val="24"/>
          <w:szCs w:val="24"/>
        </w:rPr>
        <w:t xml:space="preserve">miskin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1,63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orang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September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2020 (Badan Pusat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, 2020),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LPG</w:t>
      </w:r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ditargetkan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penghematan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</w:rPr>
        <w:t xml:space="preserve">sangat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orang</w:t>
      </w:r>
      <w:r w:rsidRPr="00EE7E09">
        <w:rPr>
          <w:rFonts w:ascii="Times New Roman" w:hAnsi="Times New Roman" w:cs="Times New Roman"/>
          <w:sz w:val="24"/>
          <w:szCs w:val="24"/>
        </w:rPr>
        <w:t xml:space="preserve"> miskin dan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rentan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. Reformasi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LPG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E09">
        <w:rPr>
          <w:rFonts w:ascii="Times New Roman" w:hAnsi="Times New Roman" w:cs="Times New Roman"/>
          <w:sz w:val="24"/>
          <w:szCs w:val="24"/>
        </w:rPr>
        <w:t xml:space="preserve">LPG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pipa gas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 LPG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pipa gas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LPG. </w:t>
      </w:r>
    </w:p>
    <w:p w14:paraId="4C2A1A80" w14:textId="77777777" w:rsidR="00535972" w:rsidRPr="00EE7E09" w:rsidRDefault="00535972" w:rsidP="0053597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E09">
        <w:rPr>
          <w:rFonts w:ascii="Times New Roman" w:hAnsi="Times New Roman" w:cs="Times New Roman"/>
          <w:sz w:val="24"/>
          <w:szCs w:val="24"/>
        </w:rPr>
        <w:t xml:space="preserve">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bakar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fosil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organisme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jutaan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terkubur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gas di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berbau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beracun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. 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bakar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komersial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hotel dan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pipa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Kementerian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Daya Mineral pada program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Gas (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Jargas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Gas Kota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Keputusan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2011 dan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Pelaksaan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Pembangunan Nasional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2010.</w:t>
      </w:r>
    </w:p>
    <w:p w14:paraId="06476E81" w14:textId="77777777" w:rsidR="00535972" w:rsidRPr="00EE7E09" w:rsidRDefault="00535972" w:rsidP="0053597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E09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pipa 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Program Strategi Nasional (PSN)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pipa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pipa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jargas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mengabulkan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ketahanan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rakyat</w:t>
      </w:r>
      <w:r w:rsidRPr="00EE7E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EE7E09">
        <w:rPr>
          <w:rFonts w:ascii="Times New Roman" w:hAnsi="Times New Roman" w:cs="Times New Roman"/>
          <w:sz w:val="24"/>
          <w:szCs w:val="24"/>
        </w:rPr>
        <w:t>aringan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pipa</w:t>
      </w:r>
      <w:r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E09">
        <w:rPr>
          <w:rFonts w:ascii="Times New Roman" w:hAnsi="Times New Roman" w:cs="Times New Roman"/>
          <w:sz w:val="24"/>
          <w:szCs w:val="24"/>
        </w:rPr>
        <w:t>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E09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pendistribusian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Jar</w:t>
      </w:r>
      <w:r>
        <w:rPr>
          <w:rFonts w:ascii="Times New Roman" w:hAnsi="Times New Roman" w:cs="Times New Roman"/>
          <w:sz w:val="24"/>
          <w:szCs w:val="24"/>
        </w:rPr>
        <w:t>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E09">
        <w:rPr>
          <w:rFonts w:ascii="Times New Roman" w:hAnsi="Times New Roman" w:cs="Times New Roman"/>
          <w:sz w:val="24"/>
          <w:szCs w:val="24"/>
        </w:rPr>
        <w:t xml:space="preserve">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wilayah</w:t>
      </w:r>
      <w:r w:rsidRPr="00EE7E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infrasruktur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pipa 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E0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gas,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Nomer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6701B5" w14:textId="77777777" w:rsidR="00535972" w:rsidRPr="00EE7E09" w:rsidRDefault="00535972" w:rsidP="005359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Toc125657016"/>
      <w:r w:rsidRPr="00EE7E09">
        <w:rPr>
          <w:rFonts w:ascii="Times New Roman" w:hAnsi="Times New Roman" w:cs="Times New Roman"/>
          <w:sz w:val="24"/>
          <w:szCs w:val="24"/>
        </w:rPr>
        <w:t xml:space="preserve">Gambar 1. </w:t>
      </w:r>
      <w:r w:rsidRPr="00EE7E09">
        <w:rPr>
          <w:rFonts w:ascii="Times New Roman" w:hAnsi="Times New Roman" w:cs="Times New Roman"/>
          <w:sz w:val="24"/>
          <w:szCs w:val="24"/>
        </w:rPr>
        <w:fldChar w:fldCharType="begin"/>
      </w:r>
      <w:r w:rsidRPr="00EE7E09">
        <w:rPr>
          <w:rFonts w:ascii="Times New Roman" w:hAnsi="Times New Roman" w:cs="Times New Roman"/>
          <w:sz w:val="24"/>
          <w:szCs w:val="24"/>
        </w:rPr>
        <w:instrText xml:space="preserve"> SEQ Gambar_1. \* ARABIC </w:instrText>
      </w:r>
      <w:r w:rsidRPr="00EE7E09">
        <w:rPr>
          <w:rFonts w:ascii="Times New Roman" w:hAnsi="Times New Roman" w:cs="Times New Roman"/>
          <w:sz w:val="24"/>
          <w:szCs w:val="24"/>
        </w:rPr>
        <w:fldChar w:fldCharType="separate"/>
      </w:r>
      <w:r w:rsidRPr="00EE7E09">
        <w:rPr>
          <w:rFonts w:ascii="Times New Roman" w:hAnsi="Times New Roman" w:cs="Times New Roman"/>
          <w:noProof/>
          <w:sz w:val="24"/>
          <w:szCs w:val="24"/>
        </w:rPr>
        <w:t>1</w:t>
      </w:r>
      <w:r w:rsidRPr="00EE7E09">
        <w:rPr>
          <w:rFonts w:ascii="Times New Roman" w:hAnsi="Times New Roman" w:cs="Times New Roman"/>
          <w:sz w:val="24"/>
          <w:szCs w:val="24"/>
        </w:rPr>
        <w:fldChar w:fldCharType="end"/>
      </w:r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Pasokan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2020</w:t>
      </w:r>
      <w:bookmarkEnd w:id="2"/>
    </w:p>
    <w:p w14:paraId="73B97B74" w14:textId="77777777" w:rsidR="00535972" w:rsidRPr="00EE7E09" w:rsidRDefault="00535972" w:rsidP="005359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0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5B59EA" wp14:editId="61951C67">
            <wp:simplePos x="1438275" y="1438275"/>
            <wp:positionH relativeFrom="column">
              <wp:align>left</wp:align>
            </wp:positionH>
            <wp:positionV relativeFrom="paragraph">
              <wp:align>top</wp:align>
            </wp:positionV>
            <wp:extent cx="5048885" cy="2945130"/>
            <wp:effectExtent l="0" t="0" r="18415" b="762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proofErr w:type="spellStart"/>
      <w:proofErr w:type="gramStart"/>
      <w:r w:rsidRPr="00EE7E0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dan 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Semester I 2021</w:t>
      </w:r>
    </w:p>
    <w:p w14:paraId="2DC21757" w14:textId="77777777" w:rsidR="00535972" w:rsidRPr="00EE7E09" w:rsidRDefault="00535972" w:rsidP="0053597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Komitemen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warganya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pipa </w:t>
      </w:r>
      <w:r w:rsidRPr="00EE7E09">
        <w:rPr>
          <w:rFonts w:ascii="Times New Roman" w:hAnsi="Times New Roman" w:cs="Times New Roman"/>
          <w:sz w:val="24"/>
          <w:szCs w:val="24"/>
        </w:rPr>
        <w:t xml:space="preserve">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negeri. </w:t>
      </w:r>
      <w:r w:rsidRPr="00EE7E09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pipa gas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perijinan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kesedian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LPG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E7E09">
        <w:rPr>
          <w:rFonts w:ascii="Times New Roman" w:hAnsi="Times New Roman" w:cs="Times New Roman"/>
          <w:sz w:val="24"/>
          <w:szCs w:val="24"/>
        </w:rPr>
        <w:t>willingness to connect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E09">
        <w:rPr>
          <w:rFonts w:ascii="Times New Roman" w:hAnsi="Times New Roman" w:cs="Times New Roman"/>
          <w:sz w:val="24"/>
          <w:szCs w:val="24"/>
        </w:rPr>
        <w:t>(willingness to pay)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E09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(ability to pay)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062460" w14:textId="77777777" w:rsidR="00535972" w:rsidRPr="00EE7E09" w:rsidRDefault="00535972" w:rsidP="0053597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E09">
        <w:rPr>
          <w:rFonts w:ascii="Times New Roman" w:hAnsi="Times New Roman" w:cs="Times New Roman"/>
          <w:sz w:val="24"/>
          <w:szCs w:val="24"/>
        </w:rPr>
        <w:t xml:space="preserve">Surabaya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percontohan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E09">
        <w:rPr>
          <w:rFonts w:ascii="Times New Roman" w:hAnsi="Times New Roman" w:cs="Times New Roman"/>
          <w:sz w:val="24"/>
          <w:szCs w:val="24"/>
        </w:rPr>
        <w:t>gas</w:t>
      </w:r>
      <w:r>
        <w:rPr>
          <w:rFonts w:ascii="Times New Roman" w:hAnsi="Times New Roman" w:cs="Times New Roman"/>
          <w:sz w:val="24"/>
          <w:szCs w:val="24"/>
        </w:rPr>
        <w:t xml:space="preserve"> domestic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gas di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EE7E09">
        <w:rPr>
          <w:rFonts w:ascii="Times New Roman" w:hAnsi="Times New Roman" w:cs="Times New Roman"/>
          <w:sz w:val="24"/>
          <w:szCs w:val="24"/>
        </w:rPr>
        <w:t>awa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E7E09">
        <w:rPr>
          <w:rFonts w:ascii="Times New Roman" w:hAnsi="Times New Roman" w:cs="Times New Roman"/>
          <w:sz w:val="24"/>
          <w:szCs w:val="24"/>
        </w:rPr>
        <w:t xml:space="preserve">imur,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pipa gas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E09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E09">
        <w:rPr>
          <w:rFonts w:ascii="Times New Roman" w:hAnsi="Times New Roman" w:cs="Times New Roman"/>
          <w:sz w:val="24"/>
          <w:szCs w:val="24"/>
        </w:rPr>
        <w:t xml:space="preserve">Total Panjang pipa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24.000 SR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196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kilometer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Surabaya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selatan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Pasokan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jargas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Surabaya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r w:rsidRPr="00EE7E09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Pertamina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Hulu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(PHE) West Madura Offshore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0,6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mmscfd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di Surabaya,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jargas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Tarakan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pipa gas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49.000 SR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AE1A18" w14:textId="77777777" w:rsidR="00535972" w:rsidRPr="00EE7E09" w:rsidRDefault="00535972" w:rsidP="0053597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migas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pipa 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dana APBN dan pada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535.555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sambungan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(SR).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menargetkan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pipa 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SR pada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2024. </w:t>
      </w:r>
      <w:r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pipa gas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APBN.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dan badan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KPBU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EE7E09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selenggarkan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forum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KPBU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pipa gas</w:t>
      </w:r>
      <w:r w:rsidRPr="00EE7E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tranparansi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EE7E09">
        <w:rPr>
          <w:rFonts w:ascii="Times New Roman" w:hAnsi="Times New Roman" w:cs="Times New Roman"/>
          <w:sz w:val="24"/>
          <w:szCs w:val="24"/>
        </w:rPr>
        <w:t>tudi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KPS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Publik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E09">
        <w:rPr>
          <w:rFonts w:ascii="Times New Roman" w:hAnsi="Times New Roman" w:cs="Times New Roman"/>
          <w:sz w:val="24"/>
          <w:szCs w:val="24"/>
        </w:rPr>
        <w:t>(Noor Arifin M, 2021).</w:t>
      </w:r>
    </w:p>
    <w:p w14:paraId="3A2BCC6E" w14:textId="77777777" w:rsidR="00535972" w:rsidRPr="00EE7E09" w:rsidRDefault="00535972" w:rsidP="0053597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Bappenas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, Kementerian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dan Kementerian ESDM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penghematan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LPG</w:t>
      </w:r>
      <w:r w:rsidRPr="00EE7E09">
        <w:rPr>
          <w:rFonts w:ascii="Times New Roman" w:hAnsi="Times New Roman" w:cs="Times New Roman"/>
          <w:sz w:val="24"/>
          <w:szCs w:val="24"/>
        </w:rPr>
        <w:t xml:space="preserve">. Badan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Bappenas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pipa 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SR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2024,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menghemat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Rp 297,6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milliar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LPG</w:t>
      </w:r>
      <w:r w:rsidRPr="00EE7E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LPG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Rp 603.720 ton per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LPG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bakar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jar</w:t>
      </w:r>
      <w:r>
        <w:rPr>
          <w:rFonts w:ascii="Times New Roman" w:hAnsi="Times New Roman" w:cs="Times New Roman"/>
          <w:sz w:val="24"/>
          <w:szCs w:val="24"/>
        </w:rPr>
        <w:t>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E09">
        <w:rPr>
          <w:rFonts w:ascii="Times New Roman" w:hAnsi="Times New Roman" w:cs="Times New Roman"/>
          <w:sz w:val="24"/>
          <w:szCs w:val="24"/>
        </w:rPr>
        <w:t xml:space="preserve">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. Dana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Rp 38,4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triliun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Rp 4,1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triliun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APBN,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(</w:t>
      </w:r>
      <w:r w:rsidRPr="00EE7E09">
        <w:rPr>
          <w:rFonts w:ascii="Times New Roman" w:hAnsi="Times New Roman" w:cs="Times New Roman"/>
          <w:sz w:val="24"/>
          <w:szCs w:val="24"/>
        </w:rPr>
        <w:t>BUMN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Rp 6,9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triliun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E09">
        <w:rPr>
          <w:rFonts w:ascii="Times New Roman" w:hAnsi="Times New Roman" w:cs="Times New Roman"/>
          <w:sz w:val="24"/>
          <w:szCs w:val="24"/>
        </w:rPr>
        <w:t xml:space="preserve">Rp 27,4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triliun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 -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Solusi</w:t>
      </w:r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penggelaran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(Novi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Andriani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>, 2021)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4E7D44" w14:textId="77777777" w:rsidR="00535972" w:rsidRPr="00EE7E09" w:rsidRDefault="00535972" w:rsidP="00535972">
      <w:pPr>
        <w:pStyle w:val="Caption"/>
        <w:spacing w:line="48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bookmarkStart w:id="3" w:name="_Toc125657017"/>
      <w:r w:rsidRPr="00EE7E0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Gambar 1. </w:t>
      </w:r>
      <w:r w:rsidRPr="00EE7E09"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begin"/>
      </w:r>
      <w:r w:rsidRPr="00EE7E09">
        <w:rPr>
          <w:rFonts w:ascii="Times New Roman" w:hAnsi="Times New Roman" w:cs="Times New Roman"/>
          <w:i w:val="0"/>
          <w:iCs w:val="0"/>
          <w:sz w:val="24"/>
          <w:szCs w:val="24"/>
        </w:rPr>
        <w:instrText xml:space="preserve"> SEQ Gambar_1. \* ARABIC </w:instrText>
      </w:r>
      <w:r w:rsidRPr="00EE7E09"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separate"/>
      </w:r>
      <w:r w:rsidRPr="00EE7E09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t>2</w:t>
      </w:r>
      <w:r w:rsidRPr="00EE7E09"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end"/>
      </w:r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Konsumsi</w:t>
      </w:r>
      <w:proofErr w:type="spellEnd"/>
      <w:r w:rsidRPr="00EE7E0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Energi</w:t>
      </w:r>
      <w:proofErr w:type="spellEnd"/>
      <w:r w:rsidRPr="00EE7E0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Gas Sektor </w:t>
      </w:r>
      <w:proofErr w:type="spellStart"/>
      <w:r w:rsidRPr="00EE7E0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Rumah</w:t>
      </w:r>
      <w:proofErr w:type="spellEnd"/>
      <w:r w:rsidRPr="00EE7E0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Tangga</w:t>
      </w:r>
      <w:bookmarkEnd w:id="3"/>
      <w:proofErr w:type="spellEnd"/>
    </w:p>
    <w:p w14:paraId="0728635D" w14:textId="77777777" w:rsidR="00535972" w:rsidRPr="00EE7E09" w:rsidRDefault="00535972" w:rsidP="005359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0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06F96AD" wp14:editId="43F43CF8">
            <wp:extent cx="5048885" cy="2945130"/>
            <wp:effectExtent l="0" t="0" r="18415" b="762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378891A" w14:textId="77777777" w:rsidR="00535972" w:rsidRPr="00EE7E09" w:rsidRDefault="00535972" w:rsidP="005359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7E0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E7E09">
        <w:rPr>
          <w:rFonts w:ascii="Times New Roman" w:hAnsi="Times New Roman" w:cs="Times New Roman"/>
          <w:sz w:val="24"/>
          <w:szCs w:val="24"/>
        </w:rPr>
        <w:t xml:space="preserve"> Handbook of energy &amp; economic statistics of Indonesia 2021</w:t>
      </w:r>
    </w:p>
    <w:p w14:paraId="32308BA1" w14:textId="77777777" w:rsidR="00535972" w:rsidRPr="00EE7E09" w:rsidRDefault="00535972" w:rsidP="0053597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Pengelolahan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pipa 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di Kota Surabaya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oleh PT Perusahaan Gas Negara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Pertamina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Gas Negara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(PGN) divisi Sales Operation Region III (SOR III)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. PGN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. PGN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Kementerian ESDM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mengoprasikan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gas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mengkonversi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. PGN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masing-masing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segmentasi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GasKita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ramah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. PGN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r w:rsidRPr="00EE7E09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menyalurkan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pipa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500.000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di 60 Kota/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se-Indonesia.</w:t>
      </w:r>
    </w:p>
    <w:p w14:paraId="0B696985" w14:textId="77777777" w:rsidR="00535972" w:rsidRPr="00EE7E09" w:rsidRDefault="00535972" w:rsidP="0053597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matang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mapping target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. Surabaya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metropolitan,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data Badan Pusat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2022 Kota Surabaya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kepadatan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penduduknya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2.880.284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Jakarta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dan industry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Surabaya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pipa gas. Kota Surabaya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wilayah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pendistribusian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pipa 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Nasional (RPJM)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2020 – 2024.</w:t>
      </w:r>
    </w:p>
    <w:p w14:paraId="6601D879" w14:textId="77777777" w:rsidR="00535972" w:rsidRPr="00EE7E09" w:rsidRDefault="00535972" w:rsidP="0053597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E09">
        <w:rPr>
          <w:rFonts w:ascii="Times New Roman" w:hAnsi="Times New Roman" w:cs="Times New Roman"/>
          <w:sz w:val="24"/>
          <w:szCs w:val="24"/>
        </w:rPr>
        <w:t xml:space="preserve">Di Kota Surabaya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pipa gas PGN, Sebagian wilayah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pipa 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total 32.544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sambungan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wilayah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Surabaya Barat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total 10.964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sambungan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Benowo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2.137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sambungan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Sambikerep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3.526,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Sukomanunggal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2.172, dan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Tandes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3129. Dari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PT Perusahaan Gas Negara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(PGN)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Sambikerep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penduduknya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lastRenderedPageBreak/>
        <w:t>menggunakan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pipa 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Sambikerep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(PGN, 2022) </w:t>
      </w:r>
    </w:p>
    <w:p w14:paraId="6FDA8CE5" w14:textId="77777777" w:rsidR="00535972" w:rsidRPr="00EE7E09" w:rsidRDefault="00535972" w:rsidP="00535972">
      <w:pPr>
        <w:tabs>
          <w:tab w:val="right" w:pos="7951"/>
        </w:tabs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LPG,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, dan 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LPG pada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LPG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Pradina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Putri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Prameswari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(2022)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Pr="00EE7E09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Manokwari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pengoprasiannya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 LPG </w:t>
      </w:r>
      <w:r w:rsidRPr="00EE7E09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Manokwari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mahal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Husni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Mubaroq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(2022) , Devi Putri S (2022), Abdul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Riky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Rifan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(2022) Hasil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gas</w:t>
      </w:r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LPG,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E09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Jati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terbantu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gas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refrensi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LPG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pipa 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LPG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alihkan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pipa gas. </w:t>
      </w:r>
    </w:p>
    <w:p w14:paraId="2E5C1F75" w14:textId="77777777" w:rsidR="00535972" w:rsidRPr="00EE7E09" w:rsidRDefault="00535972" w:rsidP="00535972">
      <w:pPr>
        <w:tabs>
          <w:tab w:val="right" w:pos="7951"/>
        </w:tabs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urgensi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Liquefied Petroleum Gas (LPG)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pipa 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Prgram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GasKita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Sambikerep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Kota Surabaya)</w:t>
      </w:r>
    </w:p>
    <w:p w14:paraId="1F2FA57F" w14:textId="77777777" w:rsidR="00535972" w:rsidRPr="00EE7E09" w:rsidRDefault="00535972" w:rsidP="00535972">
      <w:pPr>
        <w:pStyle w:val="Heading2"/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26102418"/>
      <w:r w:rsidRPr="00EE7E0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1.2 </w:t>
      </w:r>
      <w:proofErr w:type="spellStart"/>
      <w:r w:rsidRPr="00EE7E09">
        <w:rPr>
          <w:rFonts w:ascii="Times New Roman" w:hAnsi="Times New Roman" w:cs="Times New Roman"/>
          <w:color w:val="auto"/>
          <w:sz w:val="24"/>
          <w:szCs w:val="24"/>
        </w:rPr>
        <w:t>Rumusan</w:t>
      </w:r>
      <w:proofErr w:type="spellEnd"/>
      <w:r w:rsidRPr="00EE7E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color w:val="auto"/>
          <w:sz w:val="24"/>
          <w:szCs w:val="24"/>
        </w:rPr>
        <w:t>Masalah</w:t>
      </w:r>
      <w:bookmarkEnd w:id="4"/>
      <w:proofErr w:type="spellEnd"/>
    </w:p>
    <w:p w14:paraId="01ECB263" w14:textId="77777777" w:rsidR="00535972" w:rsidRPr="00EE7E09" w:rsidRDefault="00535972" w:rsidP="00535972">
      <w:pPr>
        <w:tabs>
          <w:tab w:val="right" w:pos="7951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42ABF" w14:textId="77777777" w:rsidR="00535972" w:rsidRPr="00EE7E09" w:rsidRDefault="00535972" w:rsidP="00535972">
      <w:pPr>
        <w:pStyle w:val="ListParagraph"/>
        <w:numPr>
          <w:ilvl w:val="0"/>
          <w:numId w:val="1"/>
        </w:numPr>
        <w:tabs>
          <w:tab w:val="right" w:pos="79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Liquefied Petroleum Gas (LPG)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pipa 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pada program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GasKita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Sambikerep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8D6BB" w14:textId="77777777" w:rsidR="00535972" w:rsidRPr="00EE7E09" w:rsidRDefault="00535972" w:rsidP="00535972">
      <w:pPr>
        <w:pStyle w:val="Heading2"/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26102419"/>
      <w:r w:rsidRPr="00EE7E09">
        <w:rPr>
          <w:rFonts w:ascii="Times New Roman" w:hAnsi="Times New Roman" w:cs="Times New Roman"/>
          <w:color w:val="auto"/>
          <w:sz w:val="24"/>
          <w:szCs w:val="24"/>
        </w:rPr>
        <w:t xml:space="preserve">1.3 </w:t>
      </w:r>
      <w:proofErr w:type="spellStart"/>
      <w:r w:rsidRPr="00EE7E09">
        <w:rPr>
          <w:rFonts w:ascii="Times New Roman" w:hAnsi="Times New Roman" w:cs="Times New Roman"/>
          <w:color w:val="auto"/>
          <w:sz w:val="24"/>
          <w:szCs w:val="24"/>
        </w:rPr>
        <w:t>Tujuan</w:t>
      </w:r>
      <w:proofErr w:type="spellEnd"/>
      <w:r w:rsidRPr="00EE7E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color w:val="auto"/>
          <w:sz w:val="24"/>
          <w:szCs w:val="24"/>
        </w:rPr>
        <w:t>Penelitian</w:t>
      </w:r>
      <w:bookmarkEnd w:id="5"/>
      <w:proofErr w:type="spellEnd"/>
    </w:p>
    <w:p w14:paraId="6602795B" w14:textId="77777777" w:rsidR="00535972" w:rsidRPr="00EE7E09" w:rsidRDefault="00535972" w:rsidP="00535972">
      <w:pPr>
        <w:tabs>
          <w:tab w:val="right" w:pos="7951"/>
        </w:tabs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LPG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pipa Gas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LPG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 xml:space="preserve"> pipa </w:t>
      </w:r>
      <w:proofErr w:type="spellStart"/>
      <w:r w:rsidRPr="00EE7E09">
        <w:rPr>
          <w:rFonts w:ascii="Times New Roman" w:hAnsi="Times New Roman" w:cs="Times New Roman"/>
          <w:sz w:val="24"/>
          <w:szCs w:val="24"/>
        </w:rPr>
        <w:t>Gasbumi</w:t>
      </w:r>
      <w:proofErr w:type="spellEnd"/>
      <w:r w:rsidRPr="00EE7E09">
        <w:rPr>
          <w:rFonts w:ascii="Times New Roman" w:hAnsi="Times New Roman" w:cs="Times New Roman"/>
          <w:sz w:val="24"/>
          <w:szCs w:val="24"/>
        </w:rPr>
        <w:t>.</w:t>
      </w:r>
    </w:p>
    <w:p w14:paraId="07F68575" w14:textId="77777777" w:rsidR="00535972" w:rsidRPr="00EE7E09" w:rsidRDefault="00535972" w:rsidP="00535972">
      <w:pPr>
        <w:pStyle w:val="Heading2"/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26102420"/>
      <w:r w:rsidRPr="00EE7E09">
        <w:rPr>
          <w:rFonts w:ascii="Times New Roman" w:hAnsi="Times New Roman" w:cs="Times New Roman"/>
          <w:color w:val="auto"/>
          <w:sz w:val="24"/>
          <w:szCs w:val="24"/>
        </w:rPr>
        <w:t xml:space="preserve">1.4 </w:t>
      </w:r>
      <w:proofErr w:type="spellStart"/>
      <w:r w:rsidRPr="00EE7E09">
        <w:rPr>
          <w:rFonts w:ascii="Times New Roman" w:hAnsi="Times New Roman" w:cs="Times New Roman"/>
          <w:color w:val="auto"/>
          <w:sz w:val="24"/>
          <w:szCs w:val="24"/>
        </w:rPr>
        <w:t>Manfaat</w:t>
      </w:r>
      <w:proofErr w:type="spellEnd"/>
      <w:r w:rsidRPr="00EE7E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E7E09">
        <w:rPr>
          <w:rFonts w:ascii="Times New Roman" w:hAnsi="Times New Roman" w:cs="Times New Roman"/>
          <w:color w:val="auto"/>
          <w:sz w:val="24"/>
          <w:szCs w:val="24"/>
        </w:rPr>
        <w:t>Penelitian</w:t>
      </w:r>
      <w:bookmarkEnd w:id="6"/>
      <w:proofErr w:type="spellEnd"/>
    </w:p>
    <w:p w14:paraId="176A947A" w14:textId="77777777" w:rsidR="00535972" w:rsidRPr="00EE7E09" w:rsidRDefault="00535972" w:rsidP="00535972">
      <w:pPr>
        <w:tabs>
          <w:tab w:val="right" w:pos="7951"/>
        </w:tabs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C1AFA38" w14:textId="11FE2817" w:rsidR="00AC2798" w:rsidRDefault="00535972" w:rsidP="00AC2798">
      <w:pPr>
        <w:pStyle w:val="Heading3"/>
        <w:numPr>
          <w:ilvl w:val="2"/>
          <w:numId w:val="1"/>
        </w:numPr>
        <w:spacing w:before="0" w:line="480" w:lineRule="auto"/>
        <w:jc w:val="both"/>
        <w:rPr>
          <w:rFonts w:ascii="Times New Roman" w:hAnsi="Times New Roman" w:cs="Times New Roman"/>
          <w:color w:val="auto"/>
        </w:rPr>
      </w:pPr>
      <w:bookmarkStart w:id="7" w:name="_Toc126102421"/>
      <w:proofErr w:type="spellStart"/>
      <w:r w:rsidRPr="00EE7E09">
        <w:rPr>
          <w:rFonts w:ascii="Times New Roman" w:hAnsi="Times New Roman" w:cs="Times New Roman"/>
          <w:color w:val="auto"/>
        </w:rPr>
        <w:t>Manfaat</w:t>
      </w:r>
      <w:proofErr w:type="spellEnd"/>
      <w:r w:rsidRPr="00EE7E0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E7E09">
        <w:rPr>
          <w:rFonts w:ascii="Times New Roman" w:hAnsi="Times New Roman" w:cs="Times New Roman"/>
          <w:color w:val="auto"/>
        </w:rPr>
        <w:t>Akademis</w:t>
      </w:r>
      <w:bookmarkEnd w:id="7"/>
      <w:proofErr w:type="spellEnd"/>
      <w:r w:rsidRPr="00EE7E09">
        <w:rPr>
          <w:rFonts w:ascii="Times New Roman" w:hAnsi="Times New Roman" w:cs="Times New Roman"/>
          <w:color w:val="auto"/>
        </w:rPr>
        <w:t xml:space="preserve"> </w:t>
      </w:r>
    </w:p>
    <w:p w14:paraId="0C58EA05" w14:textId="26D88960" w:rsidR="00535972" w:rsidRPr="00AC2798" w:rsidRDefault="00535972" w:rsidP="00AC2798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7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2798">
        <w:rPr>
          <w:rFonts w:ascii="Times New Roman" w:hAnsi="Times New Roman" w:cs="Times New Roman"/>
          <w:sz w:val="24"/>
          <w:szCs w:val="24"/>
        </w:rPr>
        <w:t xml:space="preserve"> tulisan </w:t>
      </w:r>
      <w:proofErr w:type="spellStart"/>
      <w:r w:rsidRPr="00AC27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C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9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C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98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AC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9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C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9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C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98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AC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98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AC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98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AC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9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98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AC2798">
        <w:rPr>
          <w:rFonts w:ascii="Times New Roman" w:hAnsi="Times New Roman" w:cs="Times New Roman"/>
          <w:sz w:val="24"/>
          <w:szCs w:val="24"/>
        </w:rPr>
        <w:t xml:space="preserve"> LPG </w:t>
      </w:r>
      <w:proofErr w:type="spellStart"/>
      <w:r w:rsidRPr="00AC279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C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98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AC2798">
        <w:rPr>
          <w:rFonts w:ascii="Times New Roman" w:hAnsi="Times New Roman" w:cs="Times New Roman"/>
          <w:sz w:val="24"/>
          <w:szCs w:val="24"/>
        </w:rPr>
        <w:t xml:space="preserve"> pipa gas </w:t>
      </w:r>
      <w:proofErr w:type="spellStart"/>
      <w:r w:rsidRPr="00AC279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AC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9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C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98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AC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9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C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9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C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98">
        <w:rPr>
          <w:rFonts w:ascii="Times New Roman" w:hAnsi="Times New Roman" w:cs="Times New Roman"/>
          <w:sz w:val="24"/>
          <w:szCs w:val="24"/>
        </w:rPr>
        <w:t>refrensi</w:t>
      </w:r>
      <w:proofErr w:type="spellEnd"/>
      <w:r w:rsidRPr="00AC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9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C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98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AC27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2798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AC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9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AC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98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AC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98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AC2798">
        <w:rPr>
          <w:rFonts w:ascii="Times New Roman" w:hAnsi="Times New Roman" w:cs="Times New Roman"/>
          <w:sz w:val="24"/>
          <w:szCs w:val="24"/>
        </w:rPr>
        <w:t xml:space="preserve"> gas</w:t>
      </w:r>
    </w:p>
    <w:p w14:paraId="390A78FC" w14:textId="61D03E87" w:rsidR="00CF736E" w:rsidRDefault="00535972" w:rsidP="00CF736E">
      <w:pPr>
        <w:pStyle w:val="Heading3"/>
        <w:numPr>
          <w:ilvl w:val="2"/>
          <w:numId w:val="1"/>
        </w:numPr>
        <w:spacing w:before="0" w:line="480" w:lineRule="auto"/>
        <w:jc w:val="both"/>
        <w:rPr>
          <w:rFonts w:ascii="Times New Roman" w:hAnsi="Times New Roman" w:cs="Times New Roman"/>
          <w:color w:val="auto"/>
        </w:rPr>
      </w:pPr>
      <w:bookmarkStart w:id="8" w:name="_Toc126102422"/>
      <w:proofErr w:type="spellStart"/>
      <w:r w:rsidRPr="00EE7E09">
        <w:rPr>
          <w:rFonts w:ascii="Times New Roman" w:hAnsi="Times New Roman" w:cs="Times New Roman"/>
          <w:color w:val="auto"/>
        </w:rPr>
        <w:t>Manfaat</w:t>
      </w:r>
      <w:proofErr w:type="spellEnd"/>
      <w:r w:rsidRPr="00EE7E0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E7E09">
        <w:rPr>
          <w:rFonts w:ascii="Times New Roman" w:hAnsi="Times New Roman" w:cs="Times New Roman"/>
          <w:color w:val="auto"/>
        </w:rPr>
        <w:t>Praktis</w:t>
      </w:r>
      <w:bookmarkEnd w:id="8"/>
      <w:proofErr w:type="spellEnd"/>
    </w:p>
    <w:p w14:paraId="5F20666B" w14:textId="3F79A70D" w:rsidR="00146F48" w:rsidRPr="00E547BA" w:rsidRDefault="00535972" w:rsidP="00E547BA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7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5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7B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E5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7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5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7B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5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7B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5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7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5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7B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5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7BA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E5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7B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547B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547B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5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7B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5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7B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547B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547BA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E5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7B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5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7B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5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7B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5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7B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5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7BA">
        <w:rPr>
          <w:rFonts w:ascii="Times New Roman" w:hAnsi="Times New Roman" w:cs="Times New Roman"/>
          <w:sz w:val="24"/>
          <w:szCs w:val="24"/>
        </w:rPr>
        <w:t>peralihan</w:t>
      </w:r>
      <w:proofErr w:type="spellEnd"/>
      <w:r w:rsidRPr="00E5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7B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5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7BA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547BA">
        <w:rPr>
          <w:rFonts w:ascii="Times New Roman" w:hAnsi="Times New Roman" w:cs="Times New Roman"/>
          <w:sz w:val="24"/>
          <w:szCs w:val="24"/>
        </w:rPr>
        <w:t xml:space="preserve"> gas.</w:t>
      </w:r>
    </w:p>
    <w:sectPr w:rsidR="00146F48" w:rsidRPr="00E547BA" w:rsidSect="00535972">
      <w:pgSz w:w="11920" w:h="16860" w:code="9"/>
      <w:pgMar w:top="2268" w:right="1701" w:bottom="1701" w:left="2268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B081D"/>
    <w:multiLevelType w:val="multilevel"/>
    <w:tmpl w:val="C50007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48836C2"/>
    <w:multiLevelType w:val="multilevel"/>
    <w:tmpl w:val="EF622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98400079">
    <w:abstractNumId w:val="1"/>
  </w:num>
  <w:num w:numId="2" w16cid:durableId="15041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72"/>
    <w:rsid w:val="000472EB"/>
    <w:rsid w:val="00084BA4"/>
    <w:rsid w:val="002006A7"/>
    <w:rsid w:val="00215CAD"/>
    <w:rsid w:val="00401FFC"/>
    <w:rsid w:val="00535972"/>
    <w:rsid w:val="005841A9"/>
    <w:rsid w:val="005E7B23"/>
    <w:rsid w:val="00655D5A"/>
    <w:rsid w:val="00785157"/>
    <w:rsid w:val="00823AAF"/>
    <w:rsid w:val="00886A8C"/>
    <w:rsid w:val="009B6330"/>
    <w:rsid w:val="009B7DA2"/>
    <w:rsid w:val="00A51519"/>
    <w:rsid w:val="00A92B3A"/>
    <w:rsid w:val="00AC2798"/>
    <w:rsid w:val="00C2274D"/>
    <w:rsid w:val="00C51081"/>
    <w:rsid w:val="00CF736E"/>
    <w:rsid w:val="00E46F0A"/>
    <w:rsid w:val="00E5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501F"/>
  <w15:chartTrackingRefBased/>
  <w15:docId w15:val="{F2E60CC8-D541-4CE5-9A42-2DAADEFF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972"/>
  </w:style>
  <w:style w:type="paragraph" w:styleId="Heading1">
    <w:name w:val="heading 1"/>
    <w:basedOn w:val="Normal"/>
    <w:next w:val="Normal"/>
    <w:link w:val="Heading1Char"/>
    <w:uiPriority w:val="9"/>
    <w:qFormat/>
    <w:rsid w:val="005359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9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9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59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59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3597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3597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ID" sz="1200"/>
              <a:t>Pasokan</a:t>
            </a:r>
            <a:r>
              <a:rPr lang="en-ID" sz="1200" baseline="0"/>
              <a:t> Cadangan Gas Bumi Indonesia Tahun 2020</a:t>
            </a:r>
            <a:endParaRPr lang="en-ID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P1 (TERBUKTI)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Sheet1!$A$2:$A$12</c:f>
              <c:strCache>
                <c:ptCount val="11"/>
                <c:pt idx="0">
                  <c:v>ACEH</c:v>
                </c:pt>
                <c:pt idx="1">
                  <c:v>NATUNA</c:v>
                </c:pt>
                <c:pt idx="2">
                  <c:v>SULAWESI</c:v>
                </c:pt>
                <c:pt idx="3">
                  <c:v>PAPUA</c:v>
                </c:pt>
                <c:pt idx="4">
                  <c:v>SUMATERA TENGAH</c:v>
                </c:pt>
                <c:pt idx="5">
                  <c:v>KALIMANTAN</c:v>
                </c:pt>
                <c:pt idx="6">
                  <c:v>MALUKU</c:v>
                </c:pt>
                <c:pt idx="7">
                  <c:v>SUMATERA UTARA</c:v>
                </c:pt>
                <c:pt idx="8">
                  <c:v>SUMATERA SELATAN</c:v>
                </c:pt>
                <c:pt idx="9">
                  <c:v>JAWA BARAT</c:v>
                </c:pt>
                <c:pt idx="10">
                  <c:v>JAWA TIMUR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581</c:v>
                </c:pt>
                <c:pt idx="1">
                  <c:v>767</c:v>
                </c:pt>
                <c:pt idx="2">
                  <c:v>3088</c:v>
                </c:pt>
                <c:pt idx="3">
                  <c:v>11544</c:v>
                </c:pt>
                <c:pt idx="4">
                  <c:v>218</c:v>
                </c:pt>
                <c:pt idx="5">
                  <c:v>4128</c:v>
                </c:pt>
                <c:pt idx="6">
                  <c:v>1398</c:v>
                </c:pt>
                <c:pt idx="7">
                  <c:v>209</c:v>
                </c:pt>
                <c:pt idx="8">
                  <c:v>3951</c:v>
                </c:pt>
                <c:pt idx="9">
                  <c:v>1769</c:v>
                </c:pt>
                <c:pt idx="10">
                  <c:v>3324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384-4C12-B549-1671021987A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P2 (MUNGKIN)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Sheet1!$A$2:$A$12</c:f>
              <c:strCache>
                <c:ptCount val="11"/>
                <c:pt idx="0">
                  <c:v>ACEH</c:v>
                </c:pt>
                <c:pt idx="1">
                  <c:v>NATUNA</c:v>
                </c:pt>
                <c:pt idx="2">
                  <c:v>SULAWESI</c:v>
                </c:pt>
                <c:pt idx="3">
                  <c:v>PAPUA</c:v>
                </c:pt>
                <c:pt idx="4">
                  <c:v>SUMATERA TENGAH</c:v>
                </c:pt>
                <c:pt idx="5">
                  <c:v>KALIMANTAN</c:v>
                </c:pt>
                <c:pt idx="6">
                  <c:v>MALUKU</c:v>
                </c:pt>
                <c:pt idx="7">
                  <c:v>SUMATERA UTARA</c:v>
                </c:pt>
                <c:pt idx="8">
                  <c:v>SUMATERA SELATAN</c:v>
                </c:pt>
                <c:pt idx="9">
                  <c:v>JAWA BARAT</c:v>
                </c:pt>
                <c:pt idx="10">
                  <c:v>JAWA TIMUR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198</c:v>
                </c:pt>
                <c:pt idx="1">
                  <c:v>390</c:v>
                </c:pt>
                <c:pt idx="2">
                  <c:v>1223</c:v>
                </c:pt>
                <c:pt idx="3">
                  <c:v>625</c:v>
                </c:pt>
                <c:pt idx="4">
                  <c:v>399</c:v>
                </c:pt>
                <c:pt idx="5">
                  <c:v>1679</c:v>
                </c:pt>
                <c:pt idx="6">
                  <c:v>4554</c:v>
                </c:pt>
                <c:pt idx="7">
                  <c:v>61</c:v>
                </c:pt>
                <c:pt idx="8">
                  <c:v>1037</c:v>
                </c:pt>
                <c:pt idx="9">
                  <c:v>325</c:v>
                </c:pt>
                <c:pt idx="10">
                  <c:v>721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384-4C12-B549-1671021987A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P3 (HARAPAN)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Sheet1!$A$2:$A$12</c:f>
              <c:strCache>
                <c:ptCount val="11"/>
                <c:pt idx="0">
                  <c:v>ACEH</c:v>
                </c:pt>
                <c:pt idx="1">
                  <c:v>NATUNA</c:v>
                </c:pt>
                <c:pt idx="2">
                  <c:v>SULAWESI</c:v>
                </c:pt>
                <c:pt idx="3">
                  <c:v>PAPUA</c:v>
                </c:pt>
                <c:pt idx="4">
                  <c:v>SUMATERA TENGAH</c:v>
                </c:pt>
                <c:pt idx="5">
                  <c:v>KALIMANTAN</c:v>
                </c:pt>
                <c:pt idx="6">
                  <c:v>MALUKU</c:v>
                </c:pt>
                <c:pt idx="7">
                  <c:v>SUMATERA UTARA</c:v>
                </c:pt>
                <c:pt idx="8">
                  <c:v>SUMATERA SELATAN</c:v>
                </c:pt>
                <c:pt idx="9">
                  <c:v>JAWA BARAT</c:v>
                </c:pt>
                <c:pt idx="10">
                  <c:v>JAWA TIMUR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  <c:pt idx="0">
                  <c:v>75</c:v>
                </c:pt>
                <c:pt idx="1">
                  <c:v>106</c:v>
                </c:pt>
                <c:pt idx="2">
                  <c:v>903</c:v>
                </c:pt>
                <c:pt idx="3">
                  <c:v>1037</c:v>
                </c:pt>
                <c:pt idx="4">
                  <c:v>40</c:v>
                </c:pt>
                <c:pt idx="5">
                  <c:v>1327</c:v>
                </c:pt>
                <c:pt idx="6">
                  <c:v>1094</c:v>
                </c:pt>
                <c:pt idx="7">
                  <c:v>2</c:v>
                </c:pt>
                <c:pt idx="8">
                  <c:v>2138</c:v>
                </c:pt>
                <c:pt idx="9">
                  <c:v>291</c:v>
                </c:pt>
                <c:pt idx="10">
                  <c:v>583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384-4C12-B549-1671021987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47692207"/>
        <c:axId val="747698447"/>
      </c:lineChart>
      <c:catAx>
        <c:axId val="7476922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7698447"/>
        <c:crosses val="autoZero"/>
        <c:auto val="1"/>
        <c:lblAlgn val="ctr"/>
        <c:lblOffset val="100"/>
        <c:noMultiLvlLbl val="0"/>
      </c:catAx>
      <c:valAx>
        <c:axId val="7476984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76922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Konsumsi</a:t>
            </a:r>
            <a:r>
              <a:rPr lang="en-US" baseline="0"/>
              <a:t> Energi gas di Sektor Rumah Tangga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MMSCF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Sheet1!$A$2:$A$12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635</c:v>
                </c:pt>
                <c:pt idx="1">
                  <c:v>748</c:v>
                </c:pt>
                <c:pt idx="2">
                  <c:v>681</c:v>
                </c:pt>
                <c:pt idx="3">
                  <c:v>636</c:v>
                </c:pt>
                <c:pt idx="4">
                  <c:v>648</c:v>
                </c:pt>
                <c:pt idx="5">
                  <c:v>761</c:v>
                </c:pt>
                <c:pt idx="6">
                  <c:v>983</c:v>
                </c:pt>
                <c:pt idx="7" formatCode="#,##0">
                  <c:v>1131</c:v>
                </c:pt>
                <c:pt idx="8" formatCode="#,##0">
                  <c:v>1291</c:v>
                </c:pt>
                <c:pt idx="9" formatCode="#,##0">
                  <c:v>1500</c:v>
                </c:pt>
                <c:pt idx="10" formatCode="#,##0">
                  <c:v>1713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8D-4C50-A14F-AD2D0FDBCE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61455968"/>
        <c:axId val="1861458464"/>
      </c:barChart>
      <c:catAx>
        <c:axId val="186145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61458464"/>
        <c:crosses val="autoZero"/>
        <c:auto val="1"/>
        <c:lblAlgn val="ctr"/>
        <c:lblOffset val="100"/>
        <c:noMultiLvlLbl val="0"/>
      </c:catAx>
      <c:valAx>
        <c:axId val="1861458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61455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suparnopar5@gmail.com</dc:creator>
  <cp:keywords/>
  <dc:description/>
  <cp:lastModifiedBy>suparnopar5@gmail.com</cp:lastModifiedBy>
  <cp:revision>1</cp:revision>
  <dcterms:created xsi:type="dcterms:W3CDTF">2023-03-07T09:04:00Z</dcterms:created>
  <dcterms:modified xsi:type="dcterms:W3CDTF">2023-03-07T09:12:00Z</dcterms:modified>
</cp:coreProperties>
</file>